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05BB" w14:textId="491CA5C4" w:rsidR="004F489E" w:rsidRPr="00FF22BC" w:rsidRDefault="00577B2B" w:rsidP="00974642">
      <w:pPr>
        <w:jc w:val="center"/>
        <w:rPr>
          <w:b/>
          <w:bCs/>
        </w:rPr>
      </w:pPr>
      <w:r>
        <w:rPr>
          <w:b/>
          <w:bCs/>
        </w:rPr>
        <w:t>Health and Safety Policy</w:t>
      </w:r>
    </w:p>
    <w:p w14:paraId="64440399" w14:textId="108C1720" w:rsidR="004F489E" w:rsidRPr="004F489E" w:rsidRDefault="00C34818" w:rsidP="00841F9A">
      <w:pPr>
        <w:spacing w:after="0" w:line="240" w:lineRule="auto"/>
      </w:pPr>
      <w:r>
        <w:t>Connect It Utility Services Ltd</w:t>
      </w:r>
      <w:r w:rsidR="00841F9A">
        <w:t xml:space="preserve"> </w:t>
      </w:r>
      <w:r w:rsidR="00961C5F">
        <w:t xml:space="preserve">will </w:t>
      </w:r>
      <w:r w:rsidR="60B70B68">
        <w:t>ensure, as far as is reasonably practicable,</w:t>
      </w:r>
      <w:r w:rsidR="00841F9A">
        <w:t xml:space="preserve"> in accordance with its duty under Section 2(3) of the Health and Safety at Work Act 1974</w:t>
      </w:r>
      <w:r w:rsidR="00961C5F">
        <w:t>, to</w:t>
      </w:r>
      <w:r w:rsidR="00841F9A">
        <w:t xml:space="preserve"> fulfil its obligations to both personnel and the public who may be affected by its activities.</w:t>
      </w:r>
    </w:p>
    <w:p w14:paraId="2C4BB3EE" w14:textId="77777777" w:rsidR="00961C5F" w:rsidRDefault="00961C5F" w:rsidP="00841F9A">
      <w:pPr>
        <w:spacing w:after="0" w:line="240" w:lineRule="auto"/>
      </w:pPr>
    </w:p>
    <w:p w14:paraId="235EE94C" w14:textId="3309B9DE" w:rsidR="00A7118B" w:rsidRDefault="00A7118B" w:rsidP="00841F9A">
      <w:pPr>
        <w:spacing w:after="0" w:line="240" w:lineRule="auto"/>
      </w:pPr>
      <w:r>
        <w:t>We</w:t>
      </w:r>
      <w:r w:rsidR="004F489E" w:rsidRPr="004F489E">
        <w:t xml:space="preserve"> will take all reasonable steps to promote and maintain safe and healthy working conditions</w:t>
      </w:r>
      <w:r>
        <w:t>, ensuring</w:t>
      </w:r>
      <w:r w:rsidR="004F489E" w:rsidRPr="004F489E">
        <w:t xml:space="preserve"> statutory obligations are</w:t>
      </w:r>
      <w:r w:rsidR="00F45248" w:rsidRPr="004F489E">
        <w:t xml:space="preserve"> met</w:t>
      </w:r>
      <w:r w:rsidR="004F489E" w:rsidRPr="004F489E">
        <w:t>.</w:t>
      </w:r>
      <w:r>
        <w:t xml:space="preserve">  </w:t>
      </w:r>
      <w:r w:rsidR="60B70B68">
        <w:t>Connect</w:t>
      </w:r>
      <w:r w:rsidR="00F45248">
        <w:t xml:space="preserve"> It</w:t>
      </w:r>
      <w:r>
        <w:t xml:space="preserve"> make the following commitments</w:t>
      </w:r>
      <w:r w:rsidR="60B70B68">
        <w:t xml:space="preserve"> in recognising its duties under</w:t>
      </w:r>
      <w:r>
        <w:t>:</w:t>
      </w:r>
    </w:p>
    <w:p w14:paraId="3781CA1C" w14:textId="77777777" w:rsidR="00A7118B" w:rsidRDefault="00A7118B" w:rsidP="00841F9A">
      <w:pPr>
        <w:spacing w:after="0" w:line="240" w:lineRule="auto"/>
      </w:pPr>
    </w:p>
    <w:p w14:paraId="1B44C4AB" w14:textId="77777777" w:rsidR="00A7118B" w:rsidRDefault="60B70B68" w:rsidP="00A711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Health and Safety at Work Act 1974, </w:t>
      </w:r>
    </w:p>
    <w:p w14:paraId="7658D2A7" w14:textId="3D819094" w:rsidR="004F489E" w:rsidRPr="004F489E" w:rsidRDefault="60B70B68" w:rsidP="00A7118B">
      <w:pPr>
        <w:pStyle w:val="ListParagraph"/>
        <w:numPr>
          <w:ilvl w:val="0"/>
          <w:numId w:val="5"/>
        </w:numPr>
        <w:spacing w:after="0" w:line="240" w:lineRule="auto"/>
      </w:pPr>
      <w:r>
        <w:t>the Management of Health and Safety at Work Regulations 1999 and other relevant legislation</w:t>
      </w:r>
      <w:r w:rsidR="00A7118B">
        <w:t>.</w:t>
      </w:r>
    </w:p>
    <w:p w14:paraId="0FA75EC0" w14:textId="77777777" w:rsidR="00C34818" w:rsidRDefault="00C34818" w:rsidP="00841F9A">
      <w:pPr>
        <w:spacing w:after="0" w:line="240" w:lineRule="auto"/>
      </w:pPr>
    </w:p>
    <w:p w14:paraId="4A80E322" w14:textId="070CC327" w:rsidR="004F489E" w:rsidRPr="004F489E" w:rsidRDefault="004F489E" w:rsidP="00841F9A">
      <w:pPr>
        <w:spacing w:after="0" w:line="240" w:lineRule="auto"/>
      </w:pPr>
      <w:r w:rsidRPr="004F489E">
        <w:t>We will:</w:t>
      </w:r>
    </w:p>
    <w:p w14:paraId="134CE232" w14:textId="57070DA0" w:rsidR="00A7118B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>Provide and maintain a safe place of work together with safe means of access and egress</w:t>
      </w:r>
      <w:r w:rsidR="00A7118B">
        <w:t>.</w:t>
      </w:r>
    </w:p>
    <w:p w14:paraId="717F8D19" w14:textId="1BBA891E" w:rsidR="00A7118B" w:rsidRDefault="00A7118B" w:rsidP="00A7118B">
      <w:pPr>
        <w:numPr>
          <w:ilvl w:val="0"/>
          <w:numId w:val="3"/>
        </w:numPr>
        <w:spacing w:after="0" w:line="240" w:lineRule="auto"/>
      </w:pPr>
      <w:r>
        <w:t>P</w:t>
      </w:r>
      <w:r w:rsidR="004F489E" w:rsidRPr="004F489E">
        <w:t>rovide and maintain plant and systems of work that are, as far as reasonably practicable, safe and without risk to health in all company operations</w:t>
      </w:r>
      <w:r>
        <w:t>.</w:t>
      </w:r>
    </w:p>
    <w:p w14:paraId="20005AF2" w14:textId="687DD1FD" w:rsidR="004F489E" w:rsidRPr="004F489E" w:rsidRDefault="00A7118B" w:rsidP="00A7118B">
      <w:pPr>
        <w:numPr>
          <w:ilvl w:val="0"/>
          <w:numId w:val="3"/>
        </w:numPr>
        <w:spacing w:after="0" w:line="240" w:lineRule="auto"/>
      </w:pPr>
      <w:r>
        <w:t>E</w:t>
      </w:r>
      <w:r w:rsidR="004F489E" w:rsidRPr="004F489E">
        <w:t>nsure that all procedures and systems are designed and implemented to take account of health and safety considerations and that those processes are properly supervised.</w:t>
      </w:r>
    </w:p>
    <w:p w14:paraId="4DB1E02D" w14:textId="0A273A55" w:rsidR="004F489E" w:rsidRPr="004F489E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>Provide adequate welfare facilities.</w:t>
      </w:r>
    </w:p>
    <w:p w14:paraId="3110F1BE" w14:textId="77777777" w:rsidR="00A7118B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 xml:space="preserve">Provide </w:t>
      </w:r>
      <w:r w:rsidR="00C34818">
        <w:t>personnel</w:t>
      </w:r>
      <w:r w:rsidRPr="004F489E">
        <w:t xml:space="preserve"> with appropriate information, instruction, </w:t>
      </w:r>
      <w:r w:rsidR="00501ADC" w:rsidRPr="004F489E">
        <w:t>training,</w:t>
      </w:r>
      <w:r w:rsidRPr="004F489E">
        <w:t xml:space="preserve"> and supervision to avoid risk to health and safety</w:t>
      </w:r>
      <w:r w:rsidR="00A7118B">
        <w:t>.</w:t>
      </w:r>
    </w:p>
    <w:p w14:paraId="4B7ACA3D" w14:textId="1478D218" w:rsidR="004F489E" w:rsidRPr="004F489E" w:rsidRDefault="00A7118B" w:rsidP="00841F9A">
      <w:pPr>
        <w:numPr>
          <w:ilvl w:val="0"/>
          <w:numId w:val="3"/>
        </w:numPr>
        <w:spacing w:after="0" w:line="240" w:lineRule="auto"/>
      </w:pPr>
      <w:r>
        <w:t>P</w:t>
      </w:r>
      <w:r w:rsidR="004F489E" w:rsidRPr="004F489E">
        <w:t xml:space="preserve">rovide tools, </w:t>
      </w:r>
      <w:r w:rsidRPr="004F489E">
        <w:t>equipment,</w:t>
      </w:r>
      <w:r w:rsidR="004F489E" w:rsidRPr="004F489E">
        <w:t xml:space="preserve"> and personal protective equipment for the safe execution of work and related activities.</w:t>
      </w:r>
    </w:p>
    <w:p w14:paraId="597BECD0" w14:textId="69964DE3" w:rsidR="004F489E" w:rsidRDefault="60B70B68" w:rsidP="00841F9A">
      <w:pPr>
        <w:numPr>
          <w:ilvl w:val="0"/>
          <w:numId w:val="3"/>
        </w:numPr>
        <w:spacing w:after="0" w:line="240" w:lineRule="auto"/>
      </w:pPr>
      <w:r>
        <w:t xml:space="preserve">Ensure that all visitors and contractors are made aware of </w:t>
      </w:r>
      <w:r w:rsidR="00C34818">
        <w:t>Connect It Utility Services Ltd H</w:t>
      </w:r>
      <w:r>
        <w:t xml:space="preserve">ealth and </w:t>
      </w:r>
      <w:r w:rsidR="00C34818">
        <w:t>S</w:t>
      </w:r>
      <w:r>
        <w:t>afety procedures including</w:t>
      </w:r>
      <w:r w:rsidR="00A7118B">
        <w:t xml:space="preserve"> covid,</w:t>
      </w:r>
      <w:r w:rsidR="00A8472E">
        <w:t xml:space="preserve"> access control </w:t>
      </w:r>
      <w:r w:rsidR="00800168">
        <w:t>measures, fire</w:t>
      </w:r>
      <w:r>
        <w:t xml:space="preserve"> precautions and first aid arrangements.</w:t>
      </w:r>
    </w:p>
    <w:p w14:paraId="61B5169E" w14:textId="2BF09A7D" w:rsidR="0047551F" w:rsidRPr="004F489E" w:rsidRDefault="009E6769" w:rsidP="00841F9A">
      <w:pPr>
        <w:numPr>
          <w:ilvl w:val="0"/>
          <w:numId w:val="3"/>
        </w:numPr>
        <w:spacing w:after="0" w:line="240" w:lineRule="auto"/>
      </w:pPr>
      <w:r>
        <w:t xml:space="preserve">Ensure </w:t>
      </w:r>
      <w:r w:rsidR="00C46E66">
        <w:t xml:space="preserve">personnel are consulted </w:t>
      </w:r>
      <w:r w:rsidR="00BB282A">
        <w:t xml:space="preserve">on changes </w:t>
      </w:r>
      <w:r w:rsidR="006B1583">
        <w:t xml:space="preserve">and </w:t>
      </w:r>
      <w:r w:rsidR="00BB014D">
        <w:t xml:space="preserve">provide a platform where </w:t>
      </w:r>
      <w:r w:rsidR="00F50267">
        <w:t xml:space="preserve">they are </w:t>
      </w:r>
      <w:r w:rsidR="006B1583">
        <w:t xml:space="preserve">encouraged </w:t>
      </w:r>
      <w:r w:rsidR="00BB282A">
        <w:t>to</w:t>
      </w:r>
      <w:r w:rsidR="00BB014D" w:rsidRPr="004F489E">
        <w:t xml:space="preserve"> raise health and safety issues</w:t>
      </w:r>
      <w:r w:rsidR="00F50267">
        <w:t>.</w:t>
      </w:r>
    </w:p>
    <w:p w14:paraId="6D78C063" w14:textId="1592ECDA" w:rsidR="00A7118B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 xml:space="preserve">Make </w:t>
      </w:r>
      <w:r w:rsidR="00C34818">
        <w:t>personnel</w:t>
      </w:r>
      <w:r w:rsidRPr="004F489E">
        <w:t xml:space="preserve"> aware of their legal duty under the Health and Safety at Work Act 1974 to take reasonable care of their own health, </w:t>
      </w:r>
      <w:r w:rsidR="00501ADC" w:rsidRPr="004F489E">
        <w:t>safety,</w:t>
      </w:r>
      <w:r w:rsidRPr="004F489E">
        <w:t xml:space="preserve"> and welfare and of others who may be affected by their acts or omissions</w:t>
      </w:r>
      <w:r w:rsidR="002C0E85">
        <w:t xml:space="preserve">. </w:t>
      </w:r>
    </w:p>
    <w:p w14:paraId="58856563" w14:textId="12D1B9A2" w:rsidR="004F489E" w:rsidRPr="004F489E" w:rsidRDefault="00A7118B" w:rsidP="00841F9A">
      <w:pPr>
        <w:numPr>
          <w:ilvl w:val="0"/>
          <w:numId w:val="3"/>
        </w:numPr>
        <w:spacing w:after="0" w:line="240" w:lineRule="auto"/>
      </w:pPr>
      <w:r>
        <w:t>S</w:t>
      </w:r>
      <w:r w:rsidR="004F489E" w:rsidRPr="004F489E">
        <w:t>eek the co-operation</w:t>
      </w:r>
      <w:r w:rsidR="00F1163D">
        <w:t xml:space="preserve"> and participation</w:t>
      </w:r>
      <w:r w:rsidR="004F489E" w:rsidRPr="004F489E">
        <w:t xml:space="preserve"> of </w:t>
      </w:r>
      <w:r w:rsidR="00C34818">
        <w:t>personnel</w:t>
      </w:r>
      <w:r w:rsidR="004F489E" w:rsidRPr="004F489E">
        <w:t xml:space="preserve"> in ensuring compliance with our statutory duties</w:t>
      </w:r>
      <w:r w:rsidR="00BB014D">
        <w:t>.</w:t>
      </w:r>
    </w:p>
    <w:p w14:paraId="157E1981" w14:textId="77777777" w:rsidR="00F1163D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 xml:space="preserve">Monitor regularly and review all operations </w:t>
      </w:r>
      <w:r w:rsidR="00145E35">
        <w:t xml:space="preserve">and </w:t>
      </w:r>
      <w:r w:rsidR="008911B7">
        <w:t xml:space="preserve">eliminate hazards and reduce </w:t>
      </w:r>
      <w:r w:rsidR="009A2AC9">
        <w:t>OH&amp;S risks and</w:t>
      </w:r>
      <w:r w:rsidRPr="004F489E">
        <w:t xml:space="preserve"> confirm adherence to Company and legislative requirements</w:t>
      </w:r>
      <w:r w:rsidR="009A2AC9">
        <w:t>.</w:t>
      </w:r>
      <w:r w:rsidRPr="004F489E">
        <w:t xml:space="preserve"> </w:t>
      </w:r>
    </w:p>
    <w:p w14:paraId="6A366857" w14:textId="1B83F16B" w:rsidR="004F489E" w:rsidRPr="004F489E" w:rsidRDefault="00145E35" w:rsidP="00841F9A">
      <w:pPr>
        <w:numPr>
          <w:ilvl w:val="0"/>
          <w:numId w:val="3"/>
        </w:numPr>
        <w:spacing w:after="0" w:line="240" w:lineRule="auto"/>
      </w:pPr>
      <w:r>
        <w:t>T</w:t>
      </w:r>
      <w:r w:rsidR="004F489E" w:rsidRPr="004F489E">
        <w:t>o</w:t>
      </w:r>
      <w:r>
        <w:t xml:space="preserve"> </w:t>
      </w:r>
      <w:r w:rsidR="004F489E" w:rsidRPr="004F489E">
        <w:t xml:space="preserve">seek continuous improvement in health, </w:t>
      </w:r>
      <w:r w:rsidR="00501ADC" w:rsidRPr="004F489E">
        <w:t>safety,</w:t>
      </w:r>
      <w:r w:rsidR="004F489E" w:rsidRPr="004F489E">
        <w:t xml:space="preserve"> and welfare performance</w:t>
      </w:r>
      <w:r w:rsidR="00F1163D">
        <w:t xml:space="preserve"> by the setting of OH&amp;S Objectives. </w:t>
      </w:r>
    </w:p>
    <w:p w14:paraId="444DCC90" w14:textId="0C5E5FD2" w:rsidR="004F489E" w:rsidRDefault="004F489E" w:rsidP="00841F9A">
      <w:pPr>
        <w:numPr>
          <w:ilvl w:val="0"/>
          <w:numId w:val="3"/>
        </w:numPr>
        <w:spacing w:after="0" w:line="240" w:lineRule="auto"/>
      </w:pPr>
      <w:r w:rsidRPr="004F489E">
        <w:t>Have regard for the health, safety and environmental impact of any Company decisions or changes brought about by new or modified legislation.</w:t>
      </w:r>
    </w:p>
    <w:p w14:paraId="1B8EC000" w14:textId="4E688921" w:rsidR="00841F9A" w:rsidRDefault="00841F9A" w:rsidP="00841F9A">
      <w:pPr>
        <w:spacing w:after="0" w:line="240" w:lineRule="auto"/>
        <w:ind w:left="360"/>
      </w:pPr>
    </w:p>
    <w:p w14:paraId="0A9BD411" w14:textId="5FA7A0DE" w:rsidR="00841F9A" w:rsidRPr="00C34818" w:rsidRDefault="00A7118B" w:rsidP="00841F9A">
      <w:pPr>
        <w:pStyle w:val="BodyText"/>
        <w:ind w:right="2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Everyone is actively empowered to </w:t>
      </w:r>
      <w:r w:rsidR="00841F9A" w:rsidRPr="00C34818">
        <w:rPr>
          <w:rFonts w:asciiTheme="minorHAnsi" w:hAnsiTheme="minorHAnsi" w:cstheme="minorHAnsi"/>
          <w:sz w:val="22"/>
          <w:szCs w:val="22"/>
        </w:rPr>
        <w:t>contribute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1F9A" w:rsidRPr="00C34818">
        <w:rPr>
          <w:rFonts w:asciiTheme="minorHAnsi" w:hAnsiTheme="minorHAnsi" w:cstheme="minorHAnsi"/>
          <w:sz w:val="22"/>
          <w:szCs w:val="22"/>
        </w:rPr>
        <w:t xml:space="preserve">towards achieving a work environment that is free of accidents, </w:t>
      </w:r>
      <w:r w:rsidRPr="00C34818">
        <w:rPr>
          <w:rFonts w:asciiTheme="minorHAnsi" w:hAnsiTheme="minorHAnsi" w:cstheme="minorHAnsi"/>
          <w:sz w:val="22"/>
          <w:szCs w:val="22"/>
        </w:rPr>
        <w:t>incidents,</w:t>
      </w:r>
      <w:r w:rsidR="00841F9A" w:rsidRPr="00C34818">
        <w:rPr>
          <w:rFonts w:asciiTheme="minorHAnsi" w:hAnsiTheme="minorHAnsi" w:cstheme="minorHAnsi"/>
          <w:sz w:val="22"/>
          <w:szCs w:val="22"/>
        </w:rPr>
        <w:t xml:space="preserve"> and ill health.</w:t>
      </w:r>
    </w:p>
    <w:p w14:paraId="17235796" w14:textId="77777777" w:rsidR="00841F9A" w:rsidRPr="00C34818" w:rsidRDefault="00841F9A" w:rsidP="00841F9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5B1E87" w14:textId="6334784C" w:rsidR="004F489E" w:rsidRPr="004F489E" w:rsidRDefault="00841F9A" w:rsidP="00841F9A">
      <w:pPr>
        <w:spacing w:after="0" w:line="240" w:lineRule="auto"/>
      </w:pPr>
      <w:r w:rsidRPr="00C34818">
        <w:rPr>
          <w:rFonts w:cstheme="minorHAnsi"/>
        </w:rPr>
        <w:t xml:space="preserve">Our health and safety policy will be reviewed </w:t>
      </w:r>
      <w:r w:rsidR="00C010B8">
        <w:rPr>
          <w:rFonts w:cstheme="minorHAnsi"/>
        </w:rPr>
        <w:t>at regular intervals</w:t>
      </w:r>
      <w:r w:rsidRPr="00C34818">
        <w:rPr>
          <w:rFonts w:cstheme="minorHAnsi"/>
        </w:rPr>
        <w:t xml:space="preserve"> to monitor its effectiveness and to ensure that it remains relevant and appropriate</w:t>
      </w:r>
      <w:r w:rsidR="00A7118B">
        <w:rPr>
          <w:rFonts w:cstheme="minorHAnsi"/>
        </w:rPr>
        <w:t xml:space="preserve">.  </w:t>
      </w:r>
    </w:p>
    <w:p w14:paraId="0F2A6C60" w14:textId="77777777" w:rsidR="00461BEC" w:rsidRDefault="004F489E" w:rsidP="00841F9A">
      <w:pPr>
        <w:spacing w:after="0" w:line="240" w:lineRule="auto"/>
      </w:pPr>
      <w:r w:rsidRPr="004F489E">
        <w:tab/>
      </w:r>
    </w:p>
    <w:p w14:paraId="64EB58BA" w14:textId="747BAFB0" w:rsidR="00960D4A" w:rsidRPr="000A5686" w:rsidRDefault="00960D4A" w:rsidP="00841F9A">
      <w:pPr>
        <w:spacing w:after="0" w:line="240" w:lineRule="auto"/>
        <w:rPr>
          <w:sz w:val="20"/>
          <w:szCs w:val="20"/>
        </w:rPr>
      </w:pPr>
    </w:p>
    <w:sectPr w:rsidR="00960D4A" w:rsidRPr="000A5686" w:rsidSect="00B86A51">
      <w:headerReference w:type="default" r:id="rId11"/>
      <w:pgSz w:w="11906" w:h="16838"/>
      <w:pgMar w:top="1134" w:right="1077" w:bottom="1134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0968" w14:textId="77777777" w:rsidR="00F06AFC" w:rsidRDefault="00F06AFC" w:rsidP="006C14FA">
      <w:pPr>
        <w:spacing w:after="0" w:line="240" w:lineRule="auto"/>
      </w:pPr>
      <w:r>
        <w:separator/>
      </w:r>
    </w:p>
  </w:endnote>
  <w:endnote w:type="continuationSeparator" w:id="0">
    <w:p w14:paraId="334715DC" w14:textId="77777777" w:rsidR="00F06AFC" w:rsidRDefault="00F06AFC" w:rsidP="006C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58F4" w14:textId="77777777" w:rsidR="00F06AFC" w:rsidRDefault="00F06AFC" w:rsidP="006C14FA">
      <w:pPr>
        <w:spacing w:after="0" w:line="240" w:lineRule="auto"/>
      </w:pPr>
      <w:r>
        <w:separator/>
      </w:r>
    </w:p>
  </w:footnote>
  <w:footnote w:type="continuationSeparator" w:id="0">
    <w:p w14:paraId="0B957D05" w14:textId="77777777" w:rsidR="00F06AFC" w:rsidRDefault="00F06AFC" w:rsidP="006C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2B1F" w14:textId="6915F1D1" w:rsidR="00974642" w:rsidRDefault="00974642">
    <w:pPr>
      <w:pStyle w:val="Header"/>
    </w:pPr>
    <w:r>
      <w:tab/>
    </w:r>
    <w:r>
      <w:rPr>
        <w:noProof/>
        <w:lang w:eastAsia="en-GB"/>
      </w:rPr>
      <w:drawing>
        <wp:inline distT="0" distB="0" distL="0" distR="0" wp14:anchorId="18CBB0BD" wp14:editId="5947F5FC">
          <wp:extent cx="5319138" cy="136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97" cy="136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A76F0" w14:textId="2CE4C9D5" w:rsidR="00D333A3" w:rsidRDefault="00D333A3" w:rsidP="001116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3C8"/>
    <w:multiLevelType w:val="hybridMultilevel"/>
    <w:tmpl w:val="1E9E15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3308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A0062A"/>
    <w:multiLevelType w:val="hybridMultilevel"/>
    <w:tmpl w:val="355A2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7594"/>
    <w:multiLevelType w:val="hybridMultilevel"/>
    <w:tmpl w:val="FBAE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6364"/>
    <w:multiLevelType w:val="multilevel"/>
    <w:tmpl w:val="5BAC71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7"/>
    <w:rsid w:val="000128AC"/>
    <w:rsid w:val="000447CB"/>
    <w:rsid w:val="00067342"/>
    <w:rsid w:val="000A5686"/>
    <w:rsid w:val="00111626"/>
    <w:rsid w:val="001310C2"/>
    <w:rsid w:val="00135E32"/>
    <w:rsid w:val="00145E35"/>
    <w:rsid w:val="001518FC"/>
    <w:rsid w:val="00152CDF"/>
    <w:rsid w:val="0016445C"/>
    <w:rsid w:val="001A2433"/>
    <w:rsid w:val="00223860"/>
    <w:rsid w:val="002274E9"/>
    <w:rsid w:val="00252291"/>
    <w:rsid w:val="00253FF0"/>
    <w:rsid w:val="00255CB9"/>
    <w:rsid w:val="0026463D"/>
    <w:rsid w:val="00272C13"/>
    <w:rsid w:val="00272DA0"/>
    <w:rsid w:val="00273F8B"/>
    <w:rsid w:val="002B2106"/>
    <w:rsid w:val="002C01D2"/>
    <w:rsid w:val="002C0E85"/>
    <w:rsid w:val="002D3B66"/>
    <w:rsid w:val="002E47B6"/>
    <w:rsid w:val="002F2695"/>
    <w:rsid w:val="002F3C81"/>
    <w:rsid w:val="00315BE9"/>
    <w:rsid w:val="00327FD6"/>
    <w:rsid w:val="003A07EC"/>
    <w:rsid w:val="003B0B29"/>
    <w:rsid w:val="003D2D03"/>
    <w:rsid w:val="003E3E89"/>
    <w:rsid w:val="00401533"/>
    <w:rsid w:val="00452DD4"/>
    <w:rsid w:val="00455659"/>
    <w:rsid w:val="00461BEC"/>
    <w:rsid w:val="00462D72"/>
    <w:rsid w:val="0047551F"/>
    <w:rsid w:val="00497BAE"/>
    <w:rsid w:val="004C2F69"/>
    <w:rsid w:val="004D4801"/>
    <w:rsid w:val="004F489E"/>
    <w:rsid w:val="004F5F89"/>
    <w:rsid w:val="004F6EE1"/>
    <w:rsid w:val="00500E9D"/>
    <w:rsid w:val="00501ADC"/>
    <w:rsid w:val="00545F9A"/>
    <w:rsid w:val="0056171D"/>
    <w:rsid w:val="00577B2B"/>
    <w:rsid w:val="00581767"/>
    <w:rsid w:val="005E120F"/>
    <w:rsid w:val="005F2388"/>
    <w:rsid w:val="00654E84"/>
    <w:rsid w:val="0065568D"/>
    <w:rsid w:val="006568F4"/>
    <w:rsid w:val="006652F7"/>
    <w:rsid w:val="00674D1D"/>
    <w:rsid w:val="006B1583"/>
    <w:rsid w:val="006C14FA"/>
    <w:rsid w:val="006C4466"/>
    <w:rsid w:val="006F15BD"/>
    <w:rsid w:val="007531C7"/>
    <w:rsid w:val="00753BB8"/>
    <w:rsid w:val="00763932"/>
    <w:rsid w:val="007710B7"/>
    <w:rsid w:val="00790DC1"/>
    <w:rsid w:val="007C5656"/>
    <w:rsid w:val="00800168"/>
    <w:rsid w:val="008057F9"/>
    <w:rsid w:val="00841F9A"/>
    <w:rsid w:val="0085118B"/>
    <w:rsid w:val="008824F0"/>
    <w:rsid w:val="00883665"/>
    <w:rsid w:val="008911B7"/>
    <w:rsid w:val="008E5807"/>
    <w:rsid w:val="00912DE1"/>
    <w:rsid w:val="00960D4A"/>
    <w:rsid w:val="00961C5F"/>
    <w:rsid w:val="00974642"/>
    <w:rsid w:val="009A2AC9"/>
    <w:rsid w:val="009E6769"/>
    <w:rsid w:val="009F6153"/>
    <w:rsid w:val="00A00C31"/>
    <w:rsid w:val="00A30E9E"/>
    <w:rsid w:val="00A44A74"/>
    <w:rsid w:val="00A44E53"/>
    <w:rsid w:val="00A7118B"/>
    <w:rsid w:val="00A8472E"/>
    <w:rsid w:val="00AC27B1"/>
    <w:rsid w:val="00B166A1"/>
    <w:rsid w:val="00B76E6C"/>
    <w:rsid w:val="00B86A51"/>
    <w:rsid w:val="00B86C74"/>
    <w:rsid w:val="00BB014D"/>
    <w:rsid w:val="00BB07B8"/>
    <w:rsid w:val="00BB20A1"/>
    <w:rsid w:val="00BB282A"/>
    <w:rsid w:val="00BE4764"/>
    <w:rsid w:val="00C010B8"/>
    <w:rsid w:val="00C177BC"/>
    <w:rsid w:val="00C34818"/>
    <w:rsid w:val="00C46E66"/>
    <w:rsid w:val="00C7719C"/>
    <w:rsid w:val="00C85ED6"/>
    <w:rsid w:val="00CA0894"/>
    <w:rsid w:val="00CA21BC"/>
    <w:rsid w:val="00CD163A"/>
    <w:rsid w:val="00CF06E9"/>
    <w:rsid w:val="00D333A3"/>
    <w:rsid w:val="00D35265"/>
    <w:rsid w:val="00D3636E"/>
    <w:rsid w:val="00D85FAC"/>
    <w:rsid w:val="00D8760F"/>
    <w:rsid w:val="00DD73E5"/>
    <w:rsid w:val="00DE3AEC"/>
    <w:rsid w:val="00E13FAE"/>
    <w:rsid w:val="00E22A40"/>
    <w:rsid w:val="00E54AAD"/>
    <w:rsid w:val="00E63B3D"/>
    <w:rsid w:val="00E670A1"/>
    <w:rsid w:val="00E71B8B"/>
    <w:rsid w:val="00EB05C0"/>
    <w:rsid w:val="00EC6AE1"/>
    <w:rsid w:val="00F06AFC"/>
    <w:rsid w:val="00F1163D"/>
    <w:rsid w:val="00F11E98"/>
    <w:rsid w:val="00F45248"/>
    <w:rsid w:val="00F50267"/>
    <w:rsid w:val="00F5627E"/>
    <w:rsid w:val="00F846CA"/>
    <w:rsid w:val="00FA551B"/>
    <w:rsid w:val="00FC2BE4"/>
    <w:rsid w:val="00FD066A"/>
    <w:rsid w:val="00FF22BC"/>
    <w:rsid w:val="5319D81D"/>
    <w:rsid w:val="57BED054"/>
    <w:rsid w:val="60B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7A7718"/>
  <w15:docId w15:val="{CD2E8B93-371D-4BBE-B7E4-C3B82A91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1D"/>
  </w:style>
  <w:style w:type="paragraph" w:styleId="Heading1">
    <w:name w:val="heading 1"/>
    <w:basedOn w:val="Normal"/>
    <w:next w:val="Normal"/>
    <w:link w:val="Heading1Char"/>
    <w:qFormat/>
    <w:rsid w:val="004F489E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F489E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F489E"/>
    <w:pPr>
      <w:numPr>
        <w:ilvl w:val="2"/>
        <w:numId w:val="4"/>
      </w:numPr>
      <w:spacing w:before="80" w:after="6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F489E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F489E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F489E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F489E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F489E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4F489E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FA"/>
  </w:style>
  <w:style w:type="paragraph" w:styleId="Footer">
    <w:name w:val="footer"/>
    <w:basedOn w:val="Normal"/>
    <w:link w:val="FooterChar"/>
    <w:uiPriority w:val="99"/>
    <w:unhideWhenUsed/>
    <w:rsid w:val="006C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FA"/>
  </w:style>
  <w:style w:type="paragraph" w:styleId="NormalWeb">
    <w:name w:val="Normal (Web)"/>
    <w:basedOn w:val="Normal"/>
    <w:rsid w:val="00C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A08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A0894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333A3"/>
    <w:rPr>
      <w:b/>
      <w:bCs/>
    </w:rPr>
  </w:style>
  <w:style w:type="paragraph" w:styleId="ListParagraph">
    <w:name w:val="List Paragraph"/>
    <w:basedOn w:val="Normal"/>
    <w:uiPriority w:val="34"/>
    <w:qFormat/>
    <w:rsid w:val="00912DE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01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01D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F489E"/>
    <w:rPr>
      <w:rFonts w:ascii="Arial" w:eastAsia="Times New Roman" w:hAnsi="Arial" w:cs="Times New Roman"/>
      <w:b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F489E"/>
    <w:rPr>
      <w:rFonts w:ascii="Arial" w:eastAsia="Times New Roman" w:hAnsi="Arial" w:cs="Times New Roman"/>
      <w:b/>
      <w:i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F489E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F489E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F489E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4F489E"/>
    <w:rPr>
      <w:rFonts w:ascii="Times New Roman" w:eastAsia="Times New Roman" w:hAnsi="Times New Roman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F489E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F489E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F489E"/>
    <w:rPr>
      <w:rFonts w:ascii="Arial" w:eastAsia="Times New Roman" w:hAnsi="Arial" w:cs="Times New Roman"/>
      <w:b/>
      <w:i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3B57.1F27E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905d4991-1e0f-4ab4-8060-30a35b6a1350">true</Reviewed>
    <SecondReviewJaneLeech xmlns="905d4991-1e0f-4ab4-8060-30a35b6a13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6057CFD1A954EB3642B9A31619000" ma:contentTypeVersion="14" ma:contentTypeDescription="Create a new document." ma:contentTypeScope="" ma:versionID="03d15e092fedc58b58ae2676e72fd9d8">
  <xsd:schema xmlns:xsd="http://www.w3.org/2001/XMLSchema" xmlns:xs="http://www.w3.org/2001/XMLSchema" xmlns:p="http://schemas.microsoft.com/office/2006/metadata/properties" xmlns:ns2="905d4991-1e0f-4ab4-8060-30a35b6a1350" xmlns:ns3="2c1c7bb2-da95-4ab6-ad93-e21e18a196e9" targetNamespace="http://schemas.microsoft.com/office/2006/metadata/properties" ma:root="true" ma:fieldsID="911978ff9a7f9252bceff43880280f63" ns2:_="" ns3:_="">
    <xsd:import namespace="905d4991-1e0f-4ab4-8060-30a35b6a1350"/>
    <xsd:import namespace="2c1c7bb2-da95-4ab6-ad93-e21e18a1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viewed" minOccurs="0"/>
                <xsd:element ref="ns2:SecondReviewJaneLeec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4991-1e0f-4ab4-8060-30a35b6a1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" ma:index="19" nillable="true" ma:displayName="Reviewed" ma:default="1" ma:format="Dropdown" ma:internalName="Reviewed">
      <xsd:simpleType>
        <xsd:restriction base="dms:Boolean"/>
      </xsd:simpleType>
    </xsd:element>
    <xsd:element name="SecondReviewJaneLeech" ma:index="20" nillable="true" ma:displayName="Second Review Jane Leech" ma:format="Dropdown" ma:internalName="SecondReviewJaneLeech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c7bb2-da95-4ab6-ad93-e21e18a1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F5A5-CE4E-44FB-8D17-7E8F558D9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BC952-3B3B-4D4C-946B-2AA039116C9C}">
  <ds:schemaRefs>
    <ds:schemaRef ds:uri="http://schemas.microsoft.com/office/2006/metadata/properties"/>
    <ds:schemaRef ds:uri="http://schemas.microsoft.com/office/infopath/2007/PartnerControls"/>
    <ds:schemaRef ds:uri="905d4991-1e0f-4ab4-8060-30a35b6a1350"/>
  </ds:schemaRefs>
</ds:datastoreItem>
</file>

<file path=customXml/itemProps3.xml><?xml version="1.0" encoding="utf-8"?>
<ds:datastoreItem xmlns:ds="http://schemas.openxmlformats.org/officeDocument/2006/customXml" ds:itemID="{8046E266-969F-484E-8F62-39C30B62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4991-1e0f-4ab4-8060-30a35b6a1350"/>
    <ds:schemaRef ds:uri="2c1c7bb2-da95-4ab6-ad93-e21e18a1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CFD83-DBFF-B446-9AF1-FF165CD1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Debbie Rowsell</cp:lastModifiedBy>
  <cp:revision>3</cp:revision>
  <cp:lastPrinted>2021-11-09T08:26:00Z</cp:lastPrinted>
  <dcterms:created xsi:type="dcterms:W3CDTF">2022-03-11T14:51:00Z</dcterms:created>
  <dcterms:modified xsi:type="dcterms:W3CDTF">2022-03-11T14:52:00Z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0x0101006426057CFD1A954EB3642B9A31619000</vt:lpwstr>
  </property>
</Properties>
</file>